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tLeast" w:line="270" w:before="0" w:after="0"/>
        <w:jc w:val="right"/>
        <w:textAlignment w:val="top"/>
        <w:rPr>
          <w:rFonts w:ascii="Times New Roman" w:hAnsi="Times New Roman" w:eastAsia="Microsoft YaHei UI" w:cs="Times New Roman"/>
          <w:color w:val="623B2A"/>
          <w:sz w:val="24"/>
          <w:szCs w:val="24"/>
        </w:rPr>
      </w:pPr>
      <w:r>
        <w:rPr>
          <w:rFonts w:eastAsia="Microsoft YaHei UI" w:cs="Times New Roman" w:ascii="Times New Roman" w:hAnsi="Times New Roman"/>
          <w:color w:val="623B2A"/>
          <w:sz w:val="24"/>
          <w:szCs w:val="24"/>
        </w:rPr>
        <w:drawing>
          <wp:anchor behindDoc="1" distT="0" distB="0" distL="114300" distR="114300" simplePos="0" locked="0" layoutInCell="1" allowOverlap="1" relativeHeight="2">
            <wp:simplePos x="0" y="0"/>
            <wp:positionH relativeFrom="column">
              <wp:posOffset>5196840</wp:posOffset>
            </wp:positionH>
            <wp:positionV relativeFrom="paragraph">
              <wp:posOffset>-187960</wp:posOffset>
            </wp:positionV>
            <wp:extent cx="1695450" cy="1314450"/>
            <wp:effectExtent l="0" t="0" r="0" b="0"/>
            <wp:wrapSquare wrapText="bothSides"/>
            <wp:docPr id="1" name="Рисунок 0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logo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ind w:right="423" w:hanging="0"/>
        <w:rPr/>
      </w:pPr>
      <w:bookmarkStart w:id="0" w:name="l90"/>
      <w:bookmarkStart w:id="1" w:name="l89"/>
      <w:bookmarkStart w:id="2" w:name="l99"/>
      <w:bookmarkStart w:id="3" w:name="l43"/>
      <w:bookmarkStart w:id="4" w:name="h94"/>
      <w:bookmarkEnd w:id="0"/>
      <w:bookmarkEnd w:id="1"/>
      <w:bookmarkEnd w:id="2"/>
      <w:bookmarkEnd w:id="3"/>
      <w:bookmarkEnd w:id="4"/>
      <w:r>
        <w:rPr>
          <w:rFonts w:eastAsia="Microsoft YaHei UI" w:cs="Times New Roman" w:ascii="Times New Roman" w:hAnsi="Times New Roman"/>
          <w:b/>
          <w:color w:val="E04E39"/>
          <w:sz w:val="24"/>
          <w:szCs w:val="24"/>
        </w:rPr>
        <w:t>Размеры платы за предоставление сведений, содержащихся в едином государственном реестре недвижимости</w:t>
      </w:r>
    </w:p>
    <w:p>
      <w:pPr>
        <w:pStyle w:val="Normal"/>
        <w:ind w:right="423" w:hanging="0"/>
        <w:rPr>
          <w:rFonts w:ascii="Times New Roman" w:hAnsi="Times New Roman" w:eastAsia="Microsoft YaHei UI" w:cs="Times New Roman"/>
          <w:b/>
          <w:b/>
          <w:color w:val="E04E39"/>
          <w:sz w:val="24"/>
          <w:szCs w:val="24"/>
        </w:rPr>
      </w:pPr>
      <w:r>
        <w:rPr/>
      </w:r>
    </w:p>
    <w:p>
      <w:pPr>
        <w:pStyle w:val="Normal"/>
        <w:ind w:right="423" w:hanging="0"/>
        <w:rPr>
          <w:rFonts w:ascii="Times New Roman" w:hAnsi="Times New Roman" w:eastAsia="Microsoft YaHei UI" w:cs="Times New Roman"/>
          <w:b/>
          <w:b/>
          <w:color w:val="E04E39"/>
          <w:sz w:val="24"/>
          <w:szCs w:val="24"/>
        </w:rPr>
      </w:pPr>
      <w:r>
        <w:rPr/>
      </w:r>
    </w:p>
    <w:p>
      <w:pPr>
        <w:pStyle w:val="Normal"/>
        <w:ind w:right="423" w:hanging="0"/>
        <w:rPr>
          <w:rFonts w:ascii="Times New Roman" w:hAnsi="Times New Roman" w:eastAsia="Microsoft YaHei UI" w:cs="Times New Roman"/>
          <w:b/>
          <w:b/>
          <w:color w:val="E04E39"/>
          <w:sz w:val="24"/>
          <w:szCs w:val="24"/>
        </w:rPr>
      </w:pPr>
      <w:r>
        <w:rPr/>
      </w:r>
    </w:p>
    <w:tbl>
      <w:tblPr>
        <w:tblW w:w="1059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652"/>
        <w:gridCol w:w="5552"/>
        <w:gridCol w:w="4394"/>
      </w:tblGrid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1.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копии договора или иного документа, выражающего содержание односторонней сделки, совершенной в простой письменной форме, содержащегося в реестровом деле (кроме предприятия как имущественного комплекса)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Физ</w:t>
            </w:r>
            <w:bookmarkStart w:id="5" w:name="_GoBack"/>
            <w:bookmarkEnd w:id="5"/>
            <w:r>
              <w:rPr>
                <w:rFonts w:eastAsia="Microsoft YaHei UI"/>
                <w:color w:val="623B2A"/>
              </w:rPr>
              <w:t xml:space="preserve">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300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950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b/>
                <w:b/>
                <w:bCs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300 рублей</w:t>
            </w:r>
            <w:r>
              <w:rPr>
                <w:rFonts w:eastAsia="Microsoft YaHei UI"/>
                <w:color w:val="623B2A"/>
              </w:rPr>
              <w:t>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2.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копии договора или иного документа, выражающего содержание односторонней сделки с предприятием, совершенной в простой письменной форме, содержащегося в реестровом деле на предприятие как имущественный комплекс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950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1400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b/>
                <w:b/>
                <w:bCs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950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3.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копии межевого плана, технического плана, разрешения на ввод объекта в эксплуатацию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1500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4500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b/>
                <w:b/>
                <w:bCs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1500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4.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копии документа, на основании которого в Единый государственный реестр недвижимости внесены сведения о территории кадастрового квартала (территории в пределах кадастрового квартала), территориальной зоне, зоне с особыми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территории опережающего социально-экономического развития, зоне территориального развития в Российской Федерации, об игорной зоне, о лесничестве, лесопарке, об особо охраняемой природной территории, особой экономической зоне, охотничьих угодьях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1500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4500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1500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5.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копии иного документа, на основании которого сведения об объекте недвижимости внесены в Единый государственный реестр недвижимости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400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1100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400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6.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сведений из Единого государственного реестра недвижимости об объекте недвижимости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750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2200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750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7.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сведений из Единого государственного реестра недвижимости о признании правообладателя недееспособным или ограниченно дееспособным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950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950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8.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За предоставление сведений из Единого государственного реестра недвижимости о зарегистрированных договорах участия в долевом строительстве 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1500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2950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1500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9.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сведений о содержании правоустанавливающих документов на объект недвижимого имущества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600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1700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600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10.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аналитической информации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1500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4500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1500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11.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сведений из Единого государственного реестра недвижимости об основных характеристиках и зарегистрированных правах на объект недвижимости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400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1100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400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12.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сведений из Единого государственного реестра недвижимости о переходе прав на объект недвижимости 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400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1100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400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13.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сведений из Единого государственного реестра недвижимости о правах отдельного лица на имевшиеся (имеющиеся) у него объекты недвижимости на территории 1 субъекта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650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1800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650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14.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rFonts w:ascii="Times New Roman" w:hAnsi="Times New Roman" w:eastAsia="Microsoft YaHei UI" w:cs="Times New Roman"/>
                <w:color w:val="623B2A"/>
                <w:sz w:val="24"/>
                <w:szCs w:val="24"/>
              </w:rPr>
            </w:pPr>
            <w:r>
              <w:rPr>
                <w:rFonts w:eastAsia="Microsoft YaHei UI" w:cs="Times New Roman" w:ascii="Times New Roman" w:hAnsi="Times New Roman"/>
                <w:color w:val="623B2A"/>
                <w:sz w:val="24"/>
                <w:szCs w:val="24"/>
              </w:rPr>
              <w:t>За предоставление сведений из Единого государственного реестра недвижимости о правах отдельного лица на имевшиеся (имеющиеся) у него объекты недвижимости на территории от 2 до 28 субъектов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1250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2500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1250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15.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сведений из Единого государственного реестра недвижимости о правах отдельного лица на имевшиеся (имеющиеся) у него объекты недвижимости на территории от 29 до 56 субъектов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1550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2800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1550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16.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сведений из Единого государственного реестра недвижимости о правах отдельного лица на имевшиеся (имеющиеся) у него объекты недвижимости на территории 57 и более субъектов Российской Федерации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1800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3000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1800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17.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сведений о дате получения органом регистрации прав заявления о государственном кадастровом учете и (или) государственной регистрации прав и прилагаемых к нему документов.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400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1100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400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18.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кадастрового плана территории.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1500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4500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1500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19.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сведений о зоне с особыми условиями использования территорий, территориальной зоне, территории объекта культурного наследия, территории опережающего социально-экономического развития, зоне территориального развития в Российской Федерации, игорной зоне, лесничестве, лесопарке, особо охраняемой природной территории, особой экономической зоне, охотничьем угодье, береговой линии (границе водного объекта), проекте межевания территории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1500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4500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1500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20.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сведений о границе между субъектами Российской Федерации, границе муниципального образования и границе населенного пункта.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1500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4500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1500 рублей;</w:t>
            </w:r>
          </w:p>
        </w:tc>
      </w:tr>
      <w:tr>
        <w:trPr/>
        <w:tc>
          <w:tcPr>
            <w:tcW w:w="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21.</w:t>
            </w:r>
          </w:p>
        </w:tc>
        <w:tc>
          <w:tcPr>
            <w:tcW w:w="5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Web"/>
              <w:spacing w:beforeAutospacing="0" w:before="0" w:afterAutospacing="0" w:after="0"/>
              <w:jc w:val="both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>За предоставление справки о лицах, получивших сведения об объекте недвижимого имущества.</w:t>
            </w:r>
          </w:p>
        </w:tc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Физическое лицо — </w:t>
            </w:r>
            <w:r>
              <w:rPr>
                <w:rStyle w:val="Strong"/>
                <w:rFonts w:eastAsia="Microsoft YaHei UI"/>
                <w:color w:val="623B2A"/>
              </w:rPr>
              <w:t>400 рублей</w:t>
            </w:r>
            <w:r>
              <w:rPr>
                <w:rFonts w:eastAsia="Microsoft YaHei UI"/>
                <w:color w:val="623B2A"/>
              </w:rPr>
              <w:t>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Style w:val="Strong"/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Юридическое лицо— </w:t>
            </w:r>
            <w:r>
              <w:rPr>
                <w:rStyle w:val="Strong"/>
                <w:rFonts w:eastAsia="Microsoft YaHei UI"/>
                <w:color w:val="623B2A"/>
              </w:rPr>
              <w:t>1100 рублей,</w:t>
            </w:r>
          </w:p>
          <w:p>
            <w:pPr>
              <w:pStyle w:val="NormalWeb"/>
              <w:spacing w:beforeAutospacing="0" w:before="0" w:afterAutospacing="0" w:after="0"/>
              <w:jc w:val="center"/>
              <w:rPr>
                <w:rFonts w:eastAsia="Microsoft YaHei UI"/>
                <w:color w:val="623B2A"/>
              </w:rPr>
            </w:pPr>
            <w:r>
              <w:rPr>
                <w:rFonts w:eastAsia="Microsoft YaHei UI"/>
                <w:color w:val="623B2A"/>
              </w:rPr>
              <w:t xml:space="preserve">Органы государственной власти, иные государственные органы— </w:t>
            </w:r>
            <w:r>
              <w:rPr>
                <w:rStyle w:val="Strong"/>
                <w:rFonts w:eastAsia="Microsoft YaHei UI"/>
                <w:color w:val="623B2A"/>
              </w:rPr>
              <w:t>400 рублей;</w:t>
            </w:r>
          </w:p>
        </w:tc>
      </w:tr>
    </w:tbl>
    <w:p>
      <w:pPr>
        <w:pStyle w:val="Normal"/>
        <w:shd w:val="clear" w:color="auto" w:fill="FFFFFF"/>
        <w:spacing w:lineRule="atLeast" w:line="270" w:before="0" w:after="0"/>
        <w:textAlignment w:val="top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e7aa5"/>
    <w:pPr>
      <w:widowControl/>
      <w:suppressAutoHyphens w:val="true"/>
      <w:bidi w:val="0"/>
      <w:spacing w:lineRule="auto" w:line="276" w:before="0" w:after="200"/>
      <w:jc w:val="left"/>
    </w:pPr>
    <w:rPr>
      <w:rFonts w:eastAsia="" w:eastAsiaTheme="minorEastAsia" w:ascii="Calibri" w:hAnsi="Calibri" w:cs=""/>
      <w:color w:val="auto"/>
      <w:sz w:val="22"/>
      <w:szCs w:val="22"/>
      <w:lang w:eastAsia="ru-RU" w:val="ru-RU" w:bidi="ar-SA"/>
    </w:rPr>
  </w:style>
  <w:style w:type="paragraph" w:styleId="1">
    <w:name w:val="Заголовок 1"/>
    <w:basedOn w:val="Style12"/>
    <w:pPr/>
    <w:rPr/>
  </w:style>
  <w:style w:type="paragraph" w:styleId="2">
    <w:name w:val="Заголовок 2"/>
    <w:basedOn w:val="Style12"/>
    <w:pPr/>
    <w:rPr/>
  </w:style>
  <w:style w:type="paragraph" w:styleId="3">
    <w:name w:val="Заголовок 3"/>
    <w:basedOn w:val="Style12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8e3268"/>
    <w:rPr>
      <w:b/>
      <w:bCs/>
    </w:rPr>
  </w:style>
  <w:style w:type="character" w:styleId="Style11">
    <w:name w:val="Выделение"/>
    <w:basedOn w:val="DefaultParagraphFont"/>
    <w:qFormat/>
    <w:rsid w:val="008e3268"/>
    <w:rPr>
      <w:b w:val="false"/>
      <w:bCs w:val="false"/>
      <w:i w:val="false"/>
      <w:iCs w:val="false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3">
    <w:name w:val="Основной текст"/>
    <w:basedOn w:val="Normal"/>
    <w:pPr>
      <w:spacing w:lineRule="auto" w:line="288" w:before="0" w:after="140"/>
    </w:pPr>
    <w:rPr/>
  </w:style>
  <w:style w:type="paragraph" w:styleId="Style14">
    <w:name w:val="Список"/>
    <w:basedOn w:val="Style13"/>
    <w:pPr/>
    <w:rPr>
      <w:rFonts w:cs="Mangal"/>
    </w:rPr>
  </w:style>
  <w:style w:type="paragraph" w:styleId="Style15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8e3268"/>
    <w:pPr>
      <w:widowControl/>
      <w:suppressAutoHyphens w:val="true"/>
      <w:bidi w:val="0"/>
      <w:spacing w:lineRule="auto" w:line="240" w:before="0" w:after="0"/>
      <w:jc w:val="left"/>
    </w:pPr>
    <w:rPr>
      <w:rFonts w:eastAsia="" w:eastAsiaTheme="minorEastAsia" w:ascii="Calibri" w:hAnsi="Calibri" w:cs=""/>
      <w:color w:val="auto"/>
      <w:sz w:val="22"/>
      <w:szCs w:val="22"/>
      <w:lang w:eastAsia="ru-RU" w:val="ru-RU" w:bidi="ar-SA"/>
    </w:rPr>
  </w:style>
  <w:style w:type="paragraph" w:styleId="NormalWeb">
    <w:name w:val="Normal (Web)"/>
    <w:basedOn w:val="Normal"/>
    <w:qFormat/>
    <w:rsid w:val="008e326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17">
    <w:name w:val="Блочная цитата"/>
    <w:basedOn w:val="Normal"/>
    <w:qFormat/>
    <w:pPr/>
    <w:rPr/>
  </w:style>
  <w:style w:type="paragraph" w:styleId="Style18">
    <w:name w:val="Заглавие"/>
    <w:basedOn w:val="Style12"/>
    <w:pPr/>
    <w:rPr/>
  </w:style>
  <w:style w:type="paragraph" w:styleId="Style19">
    <w:name w:val="Подзаголовок"/>
    <w:basedOn w:val="Style12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LibreOffice/4.4.4.3$Windows_x86 LibreOffice_project/2c39ebcf046445232b798108aa8a7e7d89552ea8</Application>
  <Paragraphs>105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2017-01-10T03:02:00Z</dcterms:created>
  <dc:creator>user64</dc:creator>
  <dc:language>ru-RU</dc:language>
  <cp:lastPrinted>2017-08-18T01:48:00Z</cp:lastPrinted>
  <dcterms:modified xsi:type="dcterms:W3CDTF">2018-04-10T13:33:12Z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